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58" w:rsidRDefault="00161EC1">
      <w:pPr>
        <w:pStyle w:val="Estilopadro"/>
        <w:spacing w:line="360" w:lineRule="auto"/>
        <w:jc w:val="center"/>
      </w:pPr>
      <w:r>
        <w:rPr>
          <w:rFonts w:ascii="Times New Roman" w:hAnsi="Times New Roman"/>
          <w:b/>
          <w:sz w:val="28"/>
          <w:szCs w:val="28"/>
        </w:rPr>
        <w:t>Construção de um Pensamento Crítico do Direito Penal na Sociedade</w:t>
      </w:r>
    </w:p>
    <w:p w:rsidR="00E71858" w:rsidRDefault="00161EC1">
      <w:pPr>
        <w:pStyle w:val="Estilopadro"/>
        <w:spacing w:line="360" w:lineRule="auto"/>
        <w:jc w:val="center"/>
      </w:pPr>
      <w:r>
        <w:rPr>
          <w:rFonts w:ascii="Times New Roman" w:hAnsi="Times New Roman"/>
          <w:sz w:val="24"/>
          <w:szCs w:val="24"/>
        </w:rPr>
        <w:t>Danielle Barbosa Coêlho Costa</w:t>
      </w:r>
      <w:r>
        <w:rPr>
          <w:rStyle w:val="ncoradanotaderodap"/>
          <w:rFonts w:ascii="Times New Roman" w:hAnsi="Times New Roman"/>
          <w:sz w:val="24"/>
          <w:szCs w:val="24"/>
        </w:rPr>
        <w:footnoteReference w:id="1"/>
      </w:r>
      <w:r>
        <w:rPr>
          <w:rFonts w:ascii="Times New Roman" w:hAnsi="Times New Roman"/>
          <w:sz w:val="24"/>
          <w:szCs w:val="24"/>
        </w:rPr>
        <w:t xml:space="preserve">; </w:t>
      </w:r>
      <w:r>
        <w:rPr>
          <w:rFonts w:ascii="Times New Roman" w:hAnsi="Times New Roman"/>
          <w:sz w:val="24"/>
          <w:szCs w:val="24"/>
          <w:shd w:val="clear" w:color="auto" w:fill="FFFFFF"/>
        </w:rPr>
        <w:t>Felipe Augusto Forte de Negreiros Deodato</w:t>
      </w:r>
      <w:r>
        <w:rPr>
          <w:rStyle w:val="ncoradanotaderodap"/>
          <w:rFonts w:ascii="Times New Roman" w:hAnsi="Times New Roman"/>
          <w:sz w:val="24"/>
          <w:szCs w:val="24"/>
          <w:shd w:val="clear" w:color="auto" w:fill="FFFFFF"/>
        </w:rPr>
        <w:footnoteReference w:id="2"/>
      </w:r>
      <w:r>
        <w:rPr>
          <w:rFonts w:ascii="Times New Roman" w:hAnsi="Times New Roman"/>
          <w:sz w:val="24"/>
          <w:szCs w:val="24"/>
        </w:rPr>
        <w:t xml:space="preserve"> ; Duina Porto Belo</w:t>
      </w:r>
      <w:r>
        <w:rPr>
          <w:rStyle w:val="ncoradanotaderodap"/>
          <w:rFonts w:ascii="Times New Roman" w:hAnsi="Times New Roman"/>
          <w:sz w:val="24"/>
          <w:szCs w:val="24"/>
        </w:rPr>
        <w:footnoteReference w:id="3"/>
      </w:r>
    </w:p>
    <w:p w:rsidR="00E71858" w:rsidRDefault="00161EC1">
      <w:pPr>
        <w:pStyle w:val="Estilopadro"/>
        <w:spacing w:after="0" w:line="360" w:lineRule="auto"/>
        <w:jc w:val="center"/>
      </w:pPr>
      <w:r>
        <w:rPr>
          <w:rFonts w:ascii="Times New Roman" w:hAnsi="Times New Roman"/>
          <w:sz w:val="24"/>
          <w:szCs w:val="24"/>
        </w:rPr>
        <w:t>Centro de Ciências Jurídicas – CCJ; Departamento de Ciências Jurídicas – DCJ; MONITORIA</w:t>
      </w:r>
    </w:p>
    <w:p w:rsidR="00E71858" w:rsidRDefault="00161EC1">
      <w:pPr>
        <w:pStyle w:val="PargrafodaLista"/>
        <w:numPr>
          <w:ilvl w:val="0"/>
          <w:numId w:val="2"/>
        </w:numPr>
        <w:spacing w:line="360" w:lineRule="auto"/>
        <w:jc w:val="both"/>
      </w:pPr>
      <w:r>
        <w:rPr>
          <w:rFonts w:ascii="Times New Roman" w:hAnsi="Times New Roman"/>
          <w:b/>
          <w:sz w:val="24"/>
          <w:szCs w:val="24"/>
        </w:rPr>
        <w:t>INTRODUÇÃO</w:t>
      </w:r>
      <w:bookmarkStart w:id="0" w:name="_GoBack"/>
      <w:bookmarkEnd w:id="0"/>
    </w:p>
    <w:p w:rsidR="00E71858" w:rsidRDefault="00161EC1">
      <w:pPr>
        <w:pStyle w:val="Estilopadro"/>
        <w:spacing w:after="0" w:line="360" w:lineRule="auto"/>
        <w:ind w:firstLine="708"/>
        <w:jc w:val="both"/>
      </w:pPr>
      <w:r>
        <w:rPr>
          <w:rFonts w:ascii="Times New Roman" w:hAnsi="Times New Roman"/>
          <w:sz w:val="24"/>
          <w:szCs w:val="24"/>
        </w:rPr>
        <w:t>A sociedade, ao longo de seu processo histórico, experimentou a evolução histórica do direito penal.</w:t>
      </w:r>
      <w:r>
        <w:rPr>
          <w:rFonts w:ascii="Times New Roman" w:hAnsi="Times New Roman"/>
          <w:color w:val="FF0000"/>
          <w:sz w:val="24"/>
          <w:szCs w:val="24"/>
        </w:rPr>
        <w:t xml:space="preserve"> </w:t>
      </w:r>
      <w:r>
        <w:rPr>
          <w:rStyle w:val="apple-style-span"/>
          <w:rFonts w:ascii="Times New Roman" w:hAnsi="Times New Roman"/>
          <w:color w:val="000000"/>
          <w:sz w:val="24"/>
          <w:szCs w:val="24"/>
          <w:shd w:val="clear" w:color="auto" w:fill="FFFFFF"/>
        </w:rPr>
        <w:t>Durkheim</w:t>
      </w:r>
      <w:r>
        <w:rPr>
          <w:rStyle w:val="superscript-4"/>
          <w:rFonts w:ascii="Times New Roman" w:hAnsi="Times New Roman"/>
          <w:color w:val="000000"/>
          <w:sz w:val="24"/>
          <w:szCs w:val="24"/>
          <w:shd w:val="clear" w:color="auto" w:fill="FFFFFF"/>
          <w:vertAlign w:val="superscript"/>
        </w:rPr>
        <w:t xml:space="preserve"> </w:t>
      </w:r>
      <w:r>
        <w:rPr>
          <w:rStyle w:val="apple-style-span"/>
          <w:rFonts w:ascii="Times New Roman" w:hAnsi="Times New Roman"/>
          <w:color w:val="000000"/>
          <w:sz w:val="24"/>
          <w:szCs w:val="24"/>
          <w:shd w:val="clear" w:color="auto" w:fill="FFFFFF"/>
        </w:rPr>
        <w:t xml:space="preserve">(1978, p.83) afirma que “o delito não ocorre somente na maioria das sociedades de uma ou outra espécie, mas sim em todas as sociedades </w:t>
      </w:r>
      <w:r>
        <w:rPr>
          <w:rStyle w:val="apple-style-span"/>
          <w:rFonts w:ascii="Times New Roman" w:hAnsi="Times New Roman"/>
          <w:color w:val="000000"/>
          <w:sz w:val="24"/>
          <w:szCs w:val="24"/>
          <w:shd w:val="clear" w:color="auto" w:fill="FFFFFF"/>
        </w:rPr>
        <w:t>constituídas pelo ser humano”. Quando as infrações, aos direitos e interesses do indivíduo, assumem determinadas proporções, e os demais meios de controle social mostram-se insuficientes ou ineficazes para harmonizar o convívio social, surge o</w:t>
      </w:r>
      <w:r>
        <w:rPr>
          <w:rStyle w:val="apple-converted-space"/>
          <w:rFonts w:ascii="Times New Roman" w:hAnsi="Times New Roman"/>
          <w:color w:val="000000"/>
          <w:sz w:val="24"/>
          <w:szCs w:val="24"/>
          <w:shd w:val="clear" w:color="auto" w:fill="FFFFFF"/>
        </w:rPr>
        <w:t> </w:t>
      </w:r>
      <w:r>
        <w:rPr>
          <w:rStyle w:val="texto-italico"/>
          <w:rFonts w:ascii="Times New Roman" w:hAnsi="Times New Roman"/>
          <w:i/>
          <w:iCs/>
          <w:color w:val="000000"/>
          <w:sz w:val="24"/>
          <w:szCs w:val="24"/>
          <w:shd w:val="clear" w:color="auto" w:fill="FFFFFF"/>
        </w:rPr>
        <w:t>Direito Pena</w:t>
      </w:r>
      <w:r>
        <w:rPr>
          <w:rStyle w:val="texto-italico"/>
          <w:rFonts w:ascii="Times New Roman" w:hAnsi="Times New Roman"/>
          <w:i/>
          <w:iCs/>
          <w:color w:val="000000"/>
          <w:sz w:val="24"/>
          <w:szCs w:val="24"/>
          <w:shd w:val="clear" w:color="auto" w:fill="FFFFFF"/>
        </w:rPr>
        <w:t>l</w:t>
      </w:r>
      <w:r>
        <w:rPr>
          <w:rStyle w:val="apple-converted-space"/>
          <w:rFonts w:ascii="Times New Roman" w:hAnsi="Times New Roman"/>
          <w:color w:val="000000"/>
          <w:sz w:val="24"/>
          <w:szCs w:val="24"/>
          <w:shd w:val="clear" w:color="auto" w:fill="FFFFFF"/>
        </w:rPr>
        <w:t> </w:t>
      </w:r>
      <w:r>
        <w:rPr>
          <w:rStyle w:val="apple-style-span"/>
          <w:rFonts w:ascii="Times New Roman" w:hAnsi="Times New Roman"/>
          <w:color w:val="000000"/>
          <w:sz w:val="24"/>
          <w:szCs w:val="24"/>
          <w:shd w:val="clear" w:color="auto" w:fill="FFFFFF"/>
        </w:rPr>
        <w:t>com sua natureza</w:t>
      </w:r>
      <w:r>
        <w:rPr>
          <w:rStyle w:val="apple-converted-space"/>
          <w:rFonts w:ascii="Times New Roman" w:hAnsi="Times New Roman"/>
          <w:color w:val="000000"/>
          <w:sz w:val="24"/>
          <w:szCs w:val="24"/>
          <w:shd w:val="clear" w:color="auto" w:fill="FFFFFF"/>
        </w:rPr>
        <w:t> </w:t>
      </w:r>
      <w:r>
        <w:rPr>
          <w:rStyle w:val="texto-italico"/>
          <w:rFonts w:ascii="Times New Roman" w:hAnsi="Times New Roman"/>
          <w:i/>
          <w:iCs/>
          <w:color w:val="000000"/>
          <w:sz w:val="24"/>
          <w:szCs w:val="24"/>
          <w:shd w:val="clear" w:color="auto" w:fill="FFFFFF"/>
        </w:rPr>
        <w:t>peculiar</w:t>
      </w:r>
      <w:r>
        <w:rPr>
          <w:rStyle w:val="apple-converted-space"/>
          <w:rFonts w:ascii="Times New Roman" w:hAnsi="Times New Roman"/>
          <w:color w:val="000000"/>
          <w:sz w:val="24"/>
          <w:szCs w:val="24"/>
          <w:shd w:val="clear" w:color="auto" w:fill="FFFFFF"/>
        </w:rPr>
        <w:t> </w:t>
      </w:r>
      <w:r>
        <w:rPr>
          <w:rStyle w:val="texto-italico"/>
          <w:rFonts w:ascii="Times New Roman" w:hAnsi="Times New Roman"/>
          <w:i/>
          <w:iCs/>
          <w:color w:val="000000"/>
          <w:sz w:val="24"/>
          <w:szCs w:val="24"/>
          <w:shd w:val="clear" w:color="auto" w:fill="FFFFFF"/>
        </w:rPr>
        <w:t>de meio de controle social formalizado</w:t>
      </w:r>
      <w:r>
        <w:rPr>
          <w:rStyle w:val="apple-style-span"/>
          <w:rFonts w:ascii="Times New Roman" w:hAnsi="Times New Roman"/>
          <w:color w:val="000000"/>
          <w:sz w:val="24"/>
          <w:szCs w:val="24"/>
          <w:shd w:val="clear" w:color="auto" w:fill="FFFFFF"/>
        </w:rPr>
        <w:t>, procurando resolver conflitos e suturando eventuais rupturas produzidas pela desinteligência dos homens.</w:t>
      </w:r>
    </w:p>
    <w:p w:rsidR="00E71858" w:rsidRDefault="00161EC1">
      <w:pPr>
        <w:pStyle w:val="Estilopadro"/>
        <w:spacing w:after="0" w:line="360" w:lineRule="auto"/>
        <w:ind w:firstLine="708"/>
        <w:jc w:val="both"/>
      </w:pPr>
      <w:r>
        <w:rPr>
          <w:rFonts w:ascii="Times New Roman" w:hAnsi="Times New Roman"/>
          <w:sz w:val="24"/>
          <w:szCs w:val="24"/>
        </w:rPr>
        <w:t xml:space="preserve">A finalidade do Direito Penal é proteger os bens mais importantes e necessários </w:t>
      </w:r>
      <w:r>
        <w:rPr>
          <w:rFonts w:ascii="Times New Roman" w:hAnsi="Times New Roman"/>
          <w:sz w:val="24"/>
          <w:szCs w:val="24"/>
        </w:rPr>
        <w:t>para a própria sobrevivência da sociedade, ou nas precisas palavras de Luiz Regis Prado (2010, p.47), “o pensamento jurídico moderno reconhece que o escopo imediato e primordial do Direito Penal radica na proteção de bens jurídicos, essenciais ao indivíduo</w:t>
      </w:r>
      <w:r>
        <w:rPr>
          <w:rFonts w:ascii="Times New Roman" w:hAnsi="Times New Roman"/>
          <w:sz w:val="24"/>
          <w:szCs w:val="24"/>
        </w:rPr>
        <w:t xml:space="preserve"> e à comunidade”.</w:t>
      </w:r>
    </w:p>
    <w:p w:rsidR="00E71858" w:rsidRDefault="00161EC1">
      <w:pPr>
        <w:pStyle w:val="Estilopadro"/>
        <w:spacing w:after="0" w:line="360" w:lineRule="auto"/>
        <w:ind w:firstLine="708"/>
        <w:jc w:val="both"/>
      </w:pPr>
      <w:r>
        <w:rPr>
          <w:rStyle w:val="apple-style-span"/>
          <w:rFonts w:ascii="Times New Roman" w:hAnsi="Times New Roman"/>
          <w:color w:val="000000"/>
          <w:sz w:val="24"/>
          <w:szCs w:val="24"/>
          <w:shd w:val="clear" w:color="auto" w:fill="FFFFFF"/>
        </w:rPr>
        <w:t xml:space="preserve">Atualmente o direito penal tem sido tratado como um conjunto de normas jurídicas que regulam o poder punitivo do Estado, tendo em vista os fatos de natureza criminal e as </w:t>
      </w:r>
      <w:r>
        <w:rPr>
          <w:rStyle w:val="apple-style-span"/>
          <w:rFonts w:ascii="Times New Roman" w:hAnsi="Times New Roman"/>
          <w:sz w:val="24"/>
          <w:szCs w:val="24"/>
          <w:shd w:val="clear" w:color="auto" w:fill="FFFFFF"/>
        </w:rPr>
        <w:t>medidas aplicáveis a quem os pratica.</w:t>
      </w:r>
    </w:p>
    <w:p w:rsidR="00E71858" w:rsidRDefault="00161EC1">
      <w:pPr>
        <w:pStyle w:val="Estilopadro"/>
        <w:spacing w:after="0" w:line="360" w:lineRule="auto"/>
        <w:ind w:firstLine="708"/>
        <w:jc w:val="both"/>
      </w:pPr>
      <w:r>
        <w:rPr>
          <w:rFonts w:ascii="Times New Roman" w:hAnsi="Times New Roman"/>
          <w:sz w:val="24"/>
          <w:szCs w:val="24"/>
        </w:rPr>
        <w:t>Conclui-se, assim, que o Dire</w:t>
      </w:r>
      <w:r>
        <w:rPr>
          <w:rFonts w:ascii="Times New Roman" w:hAnsi="Times New Roman"/>
          <w:sz w:val="24"/>
          <w:szCs w:val="24"/>
        </w:rPr>
        <w:t xml:space="preserve">ito Penal tem por objetivo tutelar os bens que, por serem extremamente valiosos, não do ponto de vista econômico, mas sim político, não podem ser suficientemente protegidos pelos demais ramos do Direito. </w:t>
      </w:r>
    </w:p>
    <w:p w:rsidR="00E71858" w:rsidRDefault="00161EC1">
      <w:pPr>
        <w:pStyle w:val="Estilopadro"/>
        <w:spacing w:after="0" w:line="360" w:lineRule="auto"/>
        <w:ind w:firstLine="708"/>
        <w:jc w:val="both"/>
      </w:pPr>
      <w:r>
        <w:rPr>
          <w:rStyle w:val="apple-style-span"/>
          <w:rFonts w:ascii="Times New Roman" w:hAnsi="Times New Roman"/>
          <w:color w:val="000000"/>
          <w:sz w:val="24"/>
          <w:szCs w:val="24"/>
          <w:shd w:val="clear" w:color="auto" w:fill="FFFFFF"/>
        </w:rPr>
        <w:t>A importância do estudo do direito penal é indiscut</w:t>
      </w:r>
      <w:r>
        <w:rPr>
          <w:rStyle w:val="apple-style-span"/>
          <w:rFonts w:ascii="Times New Roman" w:hAnsi="Times New Roman"/>
          <w:color w:val="000000"/>
          <w:sz w:val="24"/>
          <w:szCs w:val="24"/>
          <w:shd w:val="clear" w:color="auto" w:fill="FFFFFF"/>
        </w:rPr>
        <w:t xml:space="preserve">ível pois, atualmente, não há como falar em sociedade se não falarmos em Direito Penal, tendo em vista que este </w:t>
      </w:r>
      <w:r>
        <w:rPr>
          <w:rStyle w:val="apple-style-span"/>
          <w:rFonts w:ascii="Times New Roman" w:hAnsi="Times New Roman"/>
          <w:color w:val="000000"/>
          <w:sz w:val="24"/>
          <w:szCs w:val="24"/>
          <w:shd w:val="clear" w:color="auto" w:fill="FFFFFF"/>
        </w:rPr>
        <w:lastRenderedPageBreak/>
        <w:t>regula as relações dos indivíduos dentro da sociedade. Cezar Roberto Bitencourt (2012, p.50) afirma, acerca da matéria em comento, que:</w:t>
      </w:r>
    </w:p>
    <w:p w:rsidR="00E71858" w:rsidRDefault="00161EC1">
      <w:pPr>
        <w:pStyle w:val="Estilopadro"/>
        <w:spacing w:after="0" w:line="100" w:lineRule="atLeast"/>
        <w:ind w:left="2268"/>
        <w:jc w:val="both"/>
      </w:pPr>
      <w:r>
        <w:rPr>
          <w:rStyle w:val="apple-style-span"/>
          <w:rFonts w:ascii="Times New Roman" w:hAnsi="Times New Roman"/>
          <w:color w:val="000000"/>
          <w:sz w:val="24"/>
          <w:szCs w:val="24"/>
          <w:shd w:val="clear" w:color="auto" w:fill="FFFFFF"/>
        </w:rPr>
        <w:t>“O Direi</w:t>
      </w:r>
      <w:r>
        <w:rPr>
          <w:rStyle w:val="apple-style-span"/>
          <w:rFonts w:ascii="Times New Roman" w:hAnsi="Times New Roman"/>
          <w:color w:val="000000"/>
          <w:sz w:val="24"/>
          <w:szCs w:val="24"/>
          <w:shd w:val="clear" w:color="auto" w:fill="FFFFFF"/>
        </w:rPr>
        <w:t>to Penal regula as relações dos indivíduos em sociedade e as relações destes com a mesma sociedade. Como meio de controle social altamente formalizado, exercido sob o monopólio do Estado, a</w:t>
      </w:r>
      <w:r>
        <w:rPr>
          <w:rStyle w:val="apple-converted-space"/>
          <w:rFonts w:ascii="Times New Roman" w:hAnsi="Times New Roman"/>
          <w:color w:val="000000"/>
          <w:sz w:val="24"/>
          <w:szCs w:val="24"/>
          <w:shd w:val="clear" w:color="auto" w:fill="FFFFFF"/>
        </w:rPr>
        <w:t> </w:t>
      </w:r>
      <w:r>
        <w:rPr>
          <w:rStyle w:val="texto-italico"/>
          <w:rFonts w:ascii="Times New Roman" w:hAnsi="Times New Roman"/>
          <w:i/>
          <w:iCs/>
          <w:color w:val="000000"/>
          <w:sz w:val="24"/>
          <w:szCs w:val="24"/>
          <w:shd w:val="clear" w:color="auto" w:fill="FFFFFF"/>
        </w:rPr>
        <w:t xml:space="preserve">persecutio criminis </w:t>
      </w:r>
      <w:r>
        <w:rPr>
          <w:rStyle w:val="apple-style-span"/>
          <w:rFonts w:ascii="Times New Roman" w:hAnsi="Times New Roman"/>
          <w:color w:val="000000"/>
          <w:sz w:val="24"/>
          <w:szCs w:val="24"/>
          <w:shd w:val="clear" w:color="auto" w:fill="FFFFFF"/>
        </w:rPr>
        <w:t>somente pode ser legitimamente desempenhada de</w:t>
      </w:r>
      <w:r>
        <w:rPr>
          <w:rStyle w:val="apple-style-span"/>
          <w:rFonts w:ascii="Times New Roman" w:hAnsi="Times New Roman"/>
          <w:color w:val="000000"/>
          <w:sz w:val="24"/>
          <w:szCs w:val="24"/>
          <w:shd w:val="clear" w:color="auto" w:fill="FFFFFF"/>
        </w:rPr>
        <w:t xml:space="preserve"> acordo com normas preestabelecidas, legisladas de acordo com as regras de um sistema democrático.” </w:t>
      </w:r>
    </w:p>
    <w:p w:rsidR="00E71858" w:rsidRDefault="00E71858">
      <w:pPr>
        <w:pStyle w:val="Estilopadro"/>
        <w:spacing w:after="0" w:line="100" w:lineRule="atLeast"/>
        <w:ind w:left="2268"/>
        <w:jc w:val="both"/>
      </w:pPr>
    </w:p>
    <w:p w:rsidR="00E71858" w:rsidRDefault="00161EC1">
      <w:pPr>
        <w:pStyle w:val="Estilopadro"/>
        <w:spacing w:after="0" w:line="360" w:lineRule="auto"/>
        <w:ind w:firstLine="708"/>
        <w:jc w:val="both"/>
      </w:pPr>
      <w:r>
        <w:rPr>
          <w:rStyle w:val="apple-style-span"/>
          <w:rFonts w:ascii="Times New Roman" w:hAnsi="Times New Roman"/>
          <w:color w:val="000000"/>
          <w:sz w:val="24"/>
          <w:szCs w:val="24"/>
          <w:shd w:val="clear" w:color="auto" w:fill="FFFFFF"/>
        </w:rPr>
        <w:t xml:space="preserve">Vê-se, portanto, que </w:t>
      </w:r>
      <w:r>
        <w:rPr>
          <w:rFonts w:ascii="Times New Roman" w:hAnsi="Times New Roman"/>
          <w:sz w:val="24"/>
          <w:szCs w:val="24"/>
        </w:rPr>
        <w:t>a disciplina de desenvoltura desta monitoria, qual seja, Direito Penal II (Curso de Direito do DCJ, Universidade Federal da Paraíba r</w:t>
      </w:r>
      <w:r>
        <w:rPr>
          <w:rFonts w:ascii="Times New Roman" w:hAnsi="Times New Roman"/>
          <w:sz w:val="24"/>
          <w:szCs w:val="24"/>
        </w:rPr>
        <w:t xml:space="preserve">ealizada no período de 2012.2 e 2013.1), inserida, atualmente, na grade do 4º período, tem fundamental importância, uma vez que serve como forma de inserção do indivíduo no universo jurídico das relações em sociedade. </w:t>
      </w:r>
    </w:p>
    <w:p w:rsidR="00E71858" w:rsidRDefault="00161EC1">
      <w:pPr>
        <w:pStyle w:val="Estilopadro"/>
        <w:spacing w:line="360" w:lineRule="auto"/>
        <w:ind w:firstLine="708"/>
        <w:jc w:val="both"/>
      </w:pPr>
      <w:r>
        <w:rPr>
          <w:rFonts w:ascii="Times New Roman" w:hAnsi="Times New Roman"/>
          <w:sz w:val="24"/>
          <w:szCs w:val="24"/>
        </w:rPr>
        <w:t>Diante de tal importância, procurou-s</w:t>
      </w:r>
      <w:r>
        <w:rPr>
          <w:rFonts w:ascii="Times New Roman" w:hAnsi="Times New Roman"/>
          <w:sz w:val="24"/>
          <w:szCs w:val="24"/>
        </w:rPr>
        <w:t>e realizar atividades integrativas que envolveram estudantes, monitores e o professor da disciplina, promovendo, assim, um ambiente de aprendizado que permitiu a associação entre as aulas teóricas, aulas práticas (monitorias) e o estudo individual (livros,</w:t>
      </w:r>
      <w:r>
        <w:rPr>
          <w:rFonts w:ascii="Times New Roman" w:hAnsi="Times New Roman"/>
          <w:sz w:val="24"/>
          <w:szCs w:val="24"/>
        </w:rPr>
        <w:t xml:space="preserve"> jurisprudências e informativos), melhorando, portanto, o aproveitamento dos estudantes acerca dos temas relacionados à parte geral do direito penal.   </w:t>
      </w:r>
    </w:p>
    <w:p w:rsidR="00E71858" w:rsidRDefault="00161EC1">
      <w:pPr>
        <w:pStyle w:val="PargrafodaLista"/>
        <w:numPr>
          <w:ilvl w:val="0"/>
          <w:numId w:val="1"/>
        </w:numPr>
        <w:spacing w:line="360" w:lineRule="auto"/>
        <w:jc w:val="both"/>
      </w:pPr>
      <w:r>
        <w:rPr>
          <w:rFonts w:ascii="Times New Roman" w:hAnsi="Times New Roman"/>
          <w:b/>
          <w:sz w:val="24"/>
          <w:szCs w:val="24"/>
        </w:rPr>
        <w:t xml:space="preserve">PALAVRAS-CHAVE: </w:t>
      </w:r>
      <w:r>
        <w:rPr>
          <w:rFonts w:ascii="Times New Roman" w:hAnsi="Times New Roman"/>
          <w:sz w:val="24"/>
          <w:szCs w:val="24"/>
        </w:rPr>
        <w:t>bens; sociedade; direito penal.</w:t>
      </w:r>
    </w:p>
    <w:p w:rsidR="00E71858" w:rsidRDefault="00E71858">
      <w:pPr>
        <w:pStyle w:val="PargrafodaLista"/>
        <w:spacing w:line="360" w:lineRule="auto"/>
        <w:jc w:val="both"/>
      </w:pPr>
    </w:p>
    <w:p w:rsidR="00E71858" w:rsidRDefault="00161EC1">
      <w:pPr>
        <w:pStyle w:val="PargrafodaLista"/>
        <w:numPr>
          <w:ilvl w:val="0"/>
          <w:numId w:val="1"/>
        </w:numPr>
        <w:spacing w:after="0" w:line="360" w:lineRule="auto"/>
        <w:jc w:val="both"/>
      </w:pPr>
      <w:r>
        <w:rPr>
          <w:rFonts w:ascii="Times New Roman" w:hAnsi="Times New Roman"/>
          <w:b/>
          <w:sz w:val="24"/>
          <w:szCs w:val="24"/>
        </w:rPr>
        <w:t>OBJETIVOS</w:t>
      </w:r>
    </w:p>
    <w:p w:rsidR="00E71858" w:rsidRDefault="00161EC1">
      <w:pPr>
        <w:pStyle w:val="Estilopadro"/>
        <w:spacing w:after="0" w:line="360" w:lineRule="auto"/>
        <w:ind w:firstLine="708"/>
        <w:jc w:val="both"/>
      </w:pPr>
      <w:r>
        <w:rPr>
          <w:rFonts w:ascii="Times New Roman" w:hAnsi="Times New Roman"/>
          <w:sz w:val="24"/>
          <w:szCs w:val="24"/>
        </w:rPr>
        <w:t xml:space="preserve">O objetivo dos trabalhos desenvolvidos pela </w:t>
      </w:r>
      <w:r>
        <w:rPr>
          <w:rFonts w:ascii="Times New Roman" w:hAnsi="Times New Roman"/>
          <w:sz w:val="24"/>
          <w:szCs w:val="24"/>
        </w:rPr>
        <w:t>monitoria ultrapassou a aspiração de enriquecimento do currículo pessoal da monitora, bem como a perspectiva de aprofundamento dos conhecimentos específicos da disciplina. Visou-se, acima de tudo, à facilitação do processo de ensino-aprendizagem.</w:t>
      </w:r>
    </w:p>
    <w:p w:rsidR="00E71858" w:rsidRDefault="00161EC1">
      <w:pPr>
        <w:pStyle w:val="Estilopadro"/>
        <w:spacing w:after="0" w:line="360" w:lineRule="auto"/>
        <w:ind w:firstLine="708"/>
        <w:jc w:val="both"/>
      </w:pPr>
      <w:r>
        <w:rPr>
          <w:rFonts w:ascii="Times New Roman" w:hAnsi="Times New Roman"/>
          <w:sz w:val="24"/>
          <w:szCs w:val="24"/>
        </w:rPr>
        <w:t xml:space="preserve">A </w:t>
      </w:r>
      <w:r>
        <w:rPr>
          <w:rFonts w:ascii="Times New Roman" w:hAnsi="Times New Roman"/>
          <w:sz w:val="24"/>
          <w:szCs w:val="24"/>
        </w:rPr>
        <w:t>finalidade perseguida pela monitora baseou-se na pretensão da colaboração das questões didáticas, auxiliando o docente na elaboração do material para as aulas e na realização de pesquisas jurisprudenciais relativas aos temas da disciplina. Procurou-se, ain</w:t>
      </w:r>
      <w:r>
        <w:rPr>
          <w:rFonts w:ascii="Times New Roman" w:hAnsi="Times New Roman"/>
          <w:sz w:val="24"/>
          <w:szCs w:val="24"/>
        </w:rPr>
        <w:t>da, assisti-lo nas atividades de ensino, através da realização de aulas supervisionadas e seminários.</w:t>
      </w:r>
    </w:p>
    <w:p w:rsidR="00E71858" w:rsidRDefault="00161EC1">
      <w:pPr>
        <w:pStyle w:val="Estilopadro"/>
        <w:spacing w:after="0" w:line="360" w:lineRule="auto"/>
        <w:ind w:firstLine="708"/>
        <w:jc w:val="both"/>
      </w:pPr>
      <w:r>
        <w:rPr>
          <w:rFonts w:ascii="Times New Roman" w:hAnsi="Times New Roman"/>
          <w:sz w:val="24"/>
          <w:szCs w:val="24"/>
        </w:rPr>
        <w:t>Inúmeros mecanismos facilitadores do aprendizado, como trabalhos orais, elaboração de questionários e aulas de elucidação de conteúdos, foram utilizados p</w:t>
      </w:r>
      <w:r>
        <w:rPr>
          <w:rFonts w:ascii="Times New Roman" w:hAnsi="Times New Roman"/>
          <w:sz w:val="24"/>
          <w:szCs w:val="24"/>
        </w:rPr>
        <w:t>ara a monitoria desenvolvida no período letivo supracitado.</w:t>
      </w:r>
    </w:p>
    <w:p w:rsidR="00E71858" w:rsidRDefault="00161EC1">
      <w:pPr>
        <w:pStyle w:val="Estilopadro"/>
        <w:spacing w:after="0" w:line="360" w:lineRule="auto"/>
        <w:ind w:firstLine="708"/>
        <w:jc w:val="both"/>
      </w:pPr>
      <w:r>
        <w:rPr>
          <w:rFonts w:ascii="Times New Roman" w:hAnsi="Times New Roman"/>
          <w:sz w:val="24"/>
          <w:szCs w:val="24"/>
        </w:rPr>
        <w:lastRenderedPageBreak/>
        <w:t>A monitora buscou conduzir os discentes no processo de aprendizagem, através da presença em sala de aula e da preparação das aulas, no sentido de promover a compreensão dos conceitos. A finalidade</w:t>
      </w:r>
      <w:r>
        <w:rPr>
          <w:rFonts w:ascii="Times New Roman" w:hAnsi="Times New Roman"/>
          <w:sz w:val="24"/>
          <w:szCs w:val="24"/>
        </w:rPr>
        <w:t xml:space="preserve"> era, enfim, estimular a participação de todos, em ordem a possibilitar não apenas a absorção de conteúdo doutrinário, mas também o contato com os posicionamentos jurisprudenciais, o que possibilitou o debate e o desenvolvimento de reflexões críticas para </w:t>
      </w:r>
      <w:r>
        <w:rPr>
          <w:rFonts w:ascii="Times New Roman" w:hAnsi="Times New Roman"/>
          <w:sz w:val="24"/>
          <w:szCs w:val="24"/>
        </w:rPr>
        <w:t xml:space="preserve">discutir e propor mais questões pertinentes às temáticas abordadas. </w:t>
      </w:r>
    </w:p>
    <w:p w:rsidR="00E71858" w:rsidRDefault="00161EC1">
      <w:pPr>
        <w:pStyle w:val="Estilopadro"/>
        <w:spacing w:after="0" w:line="360" w:lineRule="auto"/>
        <w:ind w:firstLine="708"/>
        <w:jc w:val="both"/>
      </w:pPr>
      <w:r>
        <w:rPr>
          <w:rFonts w:ascii="Times New Roman" w:hAnsi="Times New Roman"/>
          <w:sz w:val="24"/>
          <w:szCs w:val="24"/>
        </w:rPr>
        <w:t>Os discentes tiveram a oportunidade de estar em contato com estudos teóricos e puderam ter um olhar diferenciado da prática docente através das experiências adquiridas, pois a atividade d</w:t>
      </w:r>
      <w:r>
        <w:rPr>
          <w:rFonts w:ascii="Times New Roman" w:hAnsi="Times New Roman"/>
          <w:sz w:val="24"/>
          <w:szCs w:val="24"/>
        </w:rPr>
        <w:t>a monitoria procurou fornecer aos alunos uma análise da articulação entre teoria e prática.  Portanto, a monitoria se configura num espaço em que as perspectivas teóricas estudadas durante o curso podem ser confrontadas com as situações vividas no cotidian</w:t>
      </w:r>
      <w:r>
        <w:rPr>
          <w:rFonts w:ascii="Times New Roman" w:hAnsi="Times New Roman"/>
          <w:sz w:val="24"/>
          <w:szCs w:val="24"/>
        </w:rPr>
        <w:t>o da sala de aula.</w:t>
      </w:r>
    </w:p>
    <w:p w:rsidR="00E71858" w:rsidRDefault="00161EC1">
      <w:pPr>
        <w:pStyle w:val="Estilopadro"/>
        <w:spacing w:after="0" w:line="360" w:lineRule="auto"/>
        <w:ind w:firstLine="708"/>
        <w:jc w:val="both"/>
      </w:pPr>
      <w:r>
        <w:rPr>
          <w:rFonts w:ascii="Times New Roman" w:hAnsi="Times New Roman"/>
          <w:sz w:val="24"/>
          <w:szCs w:val="24"/>
        </w:rPr>
        <w:t>Insta observar, por fim, que a monitoria se destaca como um instrumento que favorece o aumento do interesse dos monitores, pois possibilita uma revisão dos temas já estudados, sendo possível criar um novo olhar sobre a matéria em questão</w:t>
      </w:r>
      <w:r>
        <w:rPr>
          <w:rFonts w:ascii="Times New Roman" w:hAnsi="Times New Roman"/>
          <w:sz w:val="24"/>
          <w:szCs w:val="24"/>
        </w:rPr>
        <w:t xml:space="preserve"> e, ao mesmo tempo, melhorar o desempenho dos alunos.</w:t>
      </w:r>
    </w:p>
    <w:p w:rsidR="00E71858" w:rsidRDefault="00E71858">
      <w:pPr>
        <w:pStyle w:val="Estilopadro"/>
        <w:spacing w:after="0" w:line="360" w:lineRule="auto"/>
        <w:ind w:firstLine="708"/>
        <w:jc w:val="both"/>
      </w:pPr>
    </w:p>
    <w:p w:rsidR="00E71858" w:rsidRDefault="00161EC1">
      <w:pPr>
        <w:pStyle w:val="PargrafodaLista"/>
        <w:numPr>
          <w:ilvl w:val="0"/>
          <w:numId w:val="1"/>
        </w:numPr>
        <w:spacing w:line="360" w:lineRule="auto"/>
        <w:jc w:val="both"/>
      </w:pPr>
      <w:r>
        <w:rPr>
          <w:rFonts w:ascii="Times New Roman" w:hAnsi="Times New Roman"/>
          <w:b/>
          <w:sz w:val="24"/>
          <w:szCs w:val="24"/>
        </w:rPr>
        <w:t>DESCRIÇÃO METODOLÓGICA</w:t>
      </w:r>
    </w:p>
    <w:p w:rsidR="00E71858" w:rsidRDefault="00161EC1">
      <w:pPr>
        <w:pStyle w:val="Estilopadro"/>
        <w:spacing w:line="360" w:lineRule="auto"/>
        <w:jc w:val="both"/>
      </w:pPr>
      <w:r>
        <w:rPr>
          <w:rFonts w:ascii="Times New Roman" w:hAnsi="Times New Roman"/>
          <w:sz w:val="24"/>
          <w:szCs w:val="24"/>
        </w:rPr>
        <w:tab/>
        <w:t>Inicialmente foi realizada uma reunião entre o professor-orientador e a monitora dessa disciplina com o objetivo de construir um planejamento para desenvolvimento conjunto da at</w:t>
      </w:r>
      <w:r>
        <w:rPr>
          <w:rFonts w:ascii="Times New Roman" w:hAnsi="Times New Roman"/>
          <w:sz w:val="24"/>
          <w:szCs w:val="24"/>
        </w:rPr>
        <w:t>ividade, de forma a possibilitar o compartilhamento de técnicas e textos e tornar mais amplo o tempo de disponibilidade de monitoria para os alunos. Somente assim, seria possível a realização de um projeto mais completo e dinâmico. Na reunião, foram elenca</w:t>
      </w:r>
      <w:r>
        <w:rPr>
          <w:rFonts w:ascii="Times New Roman" w:hAnsi="Times New Roman"/>
          <w:sz w:val="24"/>
          <w:szCs w:val="24"/>
        </w:rPr>
        <w:t>dos, ainda, os principais pontos a serem abordados no decorrer do semestre, bem como definida a sistemática em que a oferta de monitoria seria levada aos alunos. Dentre os objetivos estipulados, inúmeros foram os pontos efetivamente postos em prática no de</w:t>
      </w:r>
      <w:r>
        <w:rPr>
          <w:rFonts w:ascii="Times New Roman" w:hAnsi="Times New Roman"/>
          <w:sz w:val="24"/>
          <w:szCs w:val="24"/>
        </w:rPr>
        <w:t>correr do período, sem prejuízo de outros que no dia a dia foram sendo acrescentados de acordo com boa desenvoltura e necessidades da turma.</w:t>
      </w:r>
    </w:p>
    <w:p w:rsidR="00E71858" w:rsidRDefault="00161EC1">
      <w:pPr>
        <w:pStyle w:val="Estilopadro"/>
        <w:spacing w:line="360" w:lineRule="auto"/>
        <w:jc w:val="both"/>
      </w:pPr>
      <w:r>
        <w:rPr>
          <w:rFonts w:ascii="Times New Roman" w:hAnsi="Times New Roman"/>
          <w:sz w:val="24"/>
          <w:szCs w:val="24"/>
        </w:rPr>
        <w:tab/>
        <w:t>Em um primeiro momento foi estipulado quais seriam as aulas que seriam ministradas pela monitora. Durante essas au</w:t>
      </w:r>
      <w:r>
        <w:rPr>
          <w:rFonts w:ascii="Times New Roman" w:hAnsi="Times New Roman"/>
          <w:sz w:val="24"/>
          <w:szCs w:val="24"/>
        </w:rPr>
        <w:t xml:space="preserve">las os alunos puderam realizar suas consultas e dirimir suas dúvidas acerca da disciplina diretamente com a monitora. Nesse momento, esta pôde tirar dúvidas dos discentes, discutir temáticas, aprofundar o </w:t>
      </w:r>
      <w:r>
        <w:rPr>
          <w:rFonts w:ascii="Times New Roman" w:hAnsi="Times New Roman"/>
          <w:sz w:val="24"/>
          <w:szCs w:val="24"/>
        </w:rPr>
        <w:lastRenderedPageBreak/>
        <w:t>conteúdo e repassar materiais extras que os auxilia</w:t>
      </w:r>
      <w:r>
        <w:rPr>
          <w:rFonts w:ascii="Times New Roman" w:hAnsi="Times New Roman"/>
          <w:sz w:val="24"/>
          <w:szCs w:val="24"/>
        </w:rPr>
        <w:t>ssem na disciplina. Ao final de cada aula, foi realizado um intenso debate entre a orientanda que ministrou a aula e os demais alunos.</w:t>
      </w:r>
    </w:p>
    <w:p w:rsidR="00E71858" w:rsidRDefault="00161EC1">
      <w:pPr>
        <w:pStyle w:val="Estilopadro"/>
        <w:spacing w:line="360" w:lineRule="auto"/>
        <w:ind w:firstLine="708"/>
        <w:jc w:val="both"/>
      </w:pPr>
      <w:r>
        <w:rPr>
          <w:rFonts w:ascii="Times New Roman" w:hAnsi="Times New Roman"/>
          <w:sz w:val="24"/>
          <w:szCs w:val="24"/>
        </w:rPr>
        <w:t xml:space="preserve">Essa metodologia foi construída conjuntamente entre o professor e monitora. Procurou-se, a todo tempo, debater as ideias </w:t>
      </w:r>
      <w:r>
        <w:rPr>
          <w:rFonts w:ascii="Times New Roman" w:hAnsi="Times New Roman"/>
          <w:sz w:val="24"/>
          <w:szCs w:val="24"/>
        </w:rPr>
        <w:t>que poderiam ser levadas a efeito. Dessa forma, as atividades da monitoria foram baseadas em: a) aulas ministradas pela orientanda; b) elaboração de materiais doutrinários e jurisprudenciais a respeito do tema da aula ministrada; c) relatórios realizados p</w:t>
      </w:r>
      <w:r>
        <w:rPr>
          <w:rFonts w:ascii="Times New Roman" w:hAnsi="Times New Roman"/>
          <w:sz w:val="24"/>
          <w:szCs w:val="24"/>
        </w:rPr>
        <w:t xml:space="preserve">elos alunos acerca da aula ministrada.  Tive, ainda, a oportunidade de pesquisar e sugerir novas formas de abordagens, textos e questões. </w:t>
      </w:r>
    </w:p>
    <w:p w:rsidR="00E71858" w:rsidRDefault="00161EC1">
      <w:pPr>
        <w:pStyle w:val="PargrafodaLista"/>
        <w:numPr>
          <w:ilvl w:val="0"/>
          <w:numId w:val="1"/>
        </w:numPr>
        <w:spacing w:after="0" w:line="360" w:lineRule="auto"/>
        <w:jc w:val="both"/>
      </w:pPr>
      <w:r>
        <w:rPr>
          <w:rFonts w:ascii="Times New Roman" w:hAnsi="Times New Roman"/>
          <w:b/>
          <w:sz w:val="24"/>
          <w:szCs w:val="24"/>
        </w:rPr>
        <w:t>RESULTADOS DA AVALIAÇÃO</w:t>
      </w:r>
    </w:p>
    <w:p w:rsidR="00E71858" w:rsidRDefault="00161EC1">
      <w:pPr>
        <w:pStyle w:val="Estilopadro"/>
        <w:spacing w:after="0" w:line="360" w:lineRule="auto"/>
        <w:ind w:firstLine="708"/>
        <w:jc w:val="both"/>
      </w:pPr>
      <w:r>
        <w:rPr>
          <w:rFonts w:ascii="Times New Roman" w:hAnsi="Times New Roman"/>
          <w:sz w:val="24"/>
          <w:szCs w:val="24"/>
        </w:rPr>
        <w:t>Como visto, foram realizadas diversas atividades, em conjunto com o professor- orientador, no</w:t>
      </w:r>
      <w:r>
        <w:rPr>
          <w:rFonts w:ascii="Times New Roman" w:hAnsi="Times New Roman"/>
          <w:sz w:val="24"/>
          <w:szCs w:val="24"/>
        </w:rPr>
        <w:t xml:space="preserve"> sentido de fomentar a troca de conhecimento entre alunos, monitores e mestre, de sorte que as aulas ministradas durante o semestre foram muito além de exposições clássicas de determinadas matérias, tendo o debate figurado como permanente aliado na busca p</w:t>
      </w:r>
      <w:r>
        <w:rPr>
          <w:rFonts w:ascii="Times New Roman" w:hAnsi="Times New Roman"/>
          <w:sz w:val="24"/>
          <w:szCs w:val="24"/>
        </w:rPr>
        <w:t>elo melhor aprendizado.</w:t>
      </w:r>
    </w:p>
    <w:p w:rsidR="00E71858" w:rsidRDefault="00161EC1">
      <w:pPr>
        <w:pStyle w:val="Estilopadro"/>
        <w:spacing w:after="0" w:line="360" w:lineRule="auto"/>
        <w:ind w:firstLine="708"/>
        <w:jc w:val="both"/>
      </w:pPr>
      <w:r>
        <w:rPr>
          <w:rFonts w:ascii="Times New Roman" w:hAnsi="Times New Roman"/>
          <w:sz w:val="24"/>
          <w:szCs w:val="24"/>
        </w:rPr>
        <w:t>A metodologia utilizada, pela monitoria, acarretou inúmeros ganhos às partes envolvidas, uma vez que se realizaram os principais pontos estipulados como objetivos da monitoria na primeira reunião. Tais ganhos foram decorrentes das a</w:t>
      </w:r>
      <w:r>
        <w:rPr>
          <w:rFonts w:ascii="Times New Roman" w:hAnsi="Times New Roman"/>
          <w:sz w:val="24"/>
          <w:szCs w:val="24"/>
        </w:rPr>
        <w:t>ções desenvolvidas no período letivo de 2012.2 e 2013.1 para as turmas do quarto período do curso de Direito. Conclui-se, assim, que houve a efetiva aproximação dos alunos com a matéria, com o curso e com o recurso da monitoria.</w:t>
      </w:r>
    </w:p>
    <w:p w:rsidR="00E71858" w:rsidRDefault="00161EC1">
      <w:pPr>
        <w:pStyle w:val="Estilopadro"/>
        <w:spacing w:after="0" w:line="360" w:lineRule="auto"/>
        <w:ind w:firstLine="708"/>
        <w:jc w:val="both"/>
      </w:pPr>
      <w:r>
        <w:rPr>
          <w:rFonts w:ascii="Times New Roman" w:hAnsi="Times New Roman"/>
          <w:sz w:val="24"/>
          <w:szCs w:val="24"/>
        </w:rPr>
        <w:t>A monitora pôde experimenta</w:t>
      </w:r>
      <w:r>
        <w:rPr>
          <w:rFonts w:ascii="Times New Roman" w:hAnsi="Times New Roman"/>
          <w:sz w:val="24"/>
          <w:szCs w:val="24"/>
        </w:rPr>
        <w:t>r de maneira mais próxima como se dá o processo de ensino e aprendizagem, pois partir dos métodos utilizados, das dificuldades manifestadas pelos alunos ao longo do período e dos obstáculos naturais que surgiam no decurso do semestre construiu-se o cenário</w:t>
      </w:r>
      <w:r>
        <w:rPr>
          <w:rFonts w:ascii="Times New Roman" w:hAnsi="Times New Roman"/>
          <w:sz w:val="24"/>
          <w:szCs w:val="24"/>
        </w:rPr>
        <w:t xml:space="preserve"> da monitoria. O período, para a orientanda, foi amplamente enriquecedor, pois foi possibilitado o contato com os bastidores do sistema educacional. </w:t>
      </w:r>
    </w:p>
    <w:p w:rsidR="00E71858" w:rsidRDefault="00161EC1">
      <w:pPr>
        <w:pStyle w:val="Estilopadro"/>
        <w:widowControl w:val="0"/>
        <w:spacing w:after="0" w:line="360" w:lineRule="auto"/>
        <w:ind w:firstLine="708"/>
        <w:jc w:val="both"/>
      </w:pPr>
      <w:r>
        <w:rPr>
          <w:rFonts w:ascii="Times New Roman" w:hAnsi="Times New Roman"/>
          <w:sz w:val="24"/>
          <w:szCs w:val="24"/>
        </w:rPr>
        <w:t>Partiu-se do pressuposto de que o Projeto de Monitoria, nada obstante compreenda um Projeto de Ensino, não</w:t>
      </w:r>
      <w:r>
        <w:rPr>
          <w:rFonts w:ascii="Times New Roman" w:hAnsi="Times New Roman"/>
          <w:sz w:val="24"/>
          <w:szCs w:val="24"/>
        </w:rPr>
        <w:t xml:space="preserve"> pode abster-se de uma prévia e minuciosa pesquisa, voltada para a formação da monitora, ora docente-aprendiz, e posterior veiculação da temática estudada.  Desta feita, pautou-se pela percepção de que os estudos sócio-jurídicos devem envolver a teoria com</w:t>
      </w:r>
      <w:r>
        <w:rPr>
          <w:rFonts w:ascii="Times New Roman" w:hAnsi="Times New Roman"/>
          <w:sz w:val="24"/>
          <w:szCs w:val="24"/>
        </w:rPr>
        <w:t xml:space="preserve">o norte e a prática como objeto. </w:t>
      </w:r>
    </w:p>
    <w:p w:rsidR="00E71858" w:rsidRDefault="00E71858">
      <w:pPr>
        <w:pStyle w:val="Estilopadro"/>
        <w:widowControl w:val="0"/>
        <w:spacing w:after="0" w:line="360" w:lineRule="auto"/>
        <w:ind w:firstLine="226"/>
        <w:jc w:val="both"/>
      </w:pPr>
    </w:p>
    <w:p w:rsidR="00E71858" w:rsidRDefault="00161EC1">
      <w:pPr>
        <w:pStyle w:val="PargrafodaLista"/>
        <w:widowControl w:val="0"/>
        <w:numPr>
          <w:ilvl w:val="0"/>
          <w:numId w:val="1"/>
        </w:numPr>
        <w:spacing w:after="0" w:line="360" w:lineRule="auto"/>
        <w:jc w:val="both"/>
      </w:pPr>
      <w:r>
        <w:rPr>
          <w:rFonts w:ascii="Times New Roman" w:hAnsi="Times New Roman"/>
          <w:b/>
          <w:sz w:val="24"/>
          <w:szCs w:val="24"/>
        </w:rPr>
        <w:t>CONCLUSÃO</w:t>
      </w:r>
    </w:p>
    <w:p w:rsidR="00E71858" w:rsidRDefault="00161EC1">
      <w:pPr>
        <w:pStyle w:val="Estilopadro"/>
        <w:widowControl w:val="0"/>
        <w:spacing w:after="0" w:line="360" w:lineRule="auto"/>
        <w:ind w:firstLine="708"/>
        <w:jc w:val="both"/>
      </w:pPr>
      <w:r>
        <w:rPr>
          <w:rFonts w:ascii="Times New Roman" w:hAnsi="Times New Roman"/>
          <w:sz w:val="24"/>
          <w:szCs w:val="24"/>
        </w:rPr>
        <w:t xml:space="preserve">De modo geral, portanto, os resultados foram positivos e de grande alcance, já que foi possível contribuir para que o Direito Penal se mostrasse além do que a mídia convencionou. Cresci como estudante e como </w:t>
      </w:r>
      <w:r>
        <w:rPr>
          <w:rFonts w:ascii="Times New Roman" w:hAnsi="Times New Roman"/>
          <w:sz w:val="24"/>
          <w:szCs w:val="24"/>
        </w:rPr>
        <w:t>pessoa, na medida em que as abordagens ultrapassavam os limites do tecnicismo para orientar e fazer refletir, instigando mais e mais o interesse pela disciplina, que sabidamente constitui base para uma carreira no mundo do Direito compromissada com uma jus</w:t>
      </w:r>
      <w:r>
        <w:rPr>
          <w:rFonts w:ascii="Times New Roman" w:hAnsi="Times New Roman"/>
          <w:sz w:val="24"/>
          <w:szCs w:val="24"/>
        </w:rPr>
        <w:t>tiça consciente.</w:t>
      </w:r>
    </w:p>
    <w:p w:rsidR="00E71858" w:rsidRDefault="00161EC1">
      <w:pPr>
        <w:pStyle w:val="Estilopadro"/>
        <w:spacing w:after="0" w:line="360" w:lineRule="auto"/>
        <w:ind w:firstLine="708"/>
        <w:jc w:val="both"/>
      </w:pPr>
      <w:r>
        <w:rPr>
          <w:rFonts w:ascii="Times New Roman" w:hAnsi="Times New Roman"/>
          <w:sz w:val="24"/>
          <w:szCs w:val="24"/>
        </w:rPr>
        <w:t>A experiência me permitiu ter uma atuação diversificada e instigante, fazendo da experiência da monitoria algo rico e engrandecedor.</w:t>
      </w:r>
    </w:p>
    <w:p w:rsidR="00E71858" w:rsidRDefault="00E71858">
      <w:pPr>
        <w:pStyle w:val="PargrafodaLista"/>
        <w:widowControl w:val="0"/>
        <w:spacing w:after="0" w:line="360" w:lineRule="auto"/>
        <w:jc w:val="both"/>
      </w:pPr>
    </w:p>
    <w:p w:rsidR="00E71858" w:rsidRDefault="00161EC1">
      <w:pPr>
        <w:pStyle w:val="PargrafodaLista"/>
        <w:widowControl w:val="0"/>
        <w:numPr>
          <w:ilvl w:val="0"/>
          <w:numId w:val="1"/>
        </w:numPr>
        <w:spacing w:after="0" w:line="360" w:lineRule="auto"/>
        <w:jc w:val="both"/>
      </w:pPr>
      <w:r>
        <w:rPr>
          <w:rFonts w:ascii="Times New Roman" w:hAnsi="Times New Roman"/>
          <w:b/>
          <w:sz w:val="24"/>
          <w:szCs w:val="24"/>
        </w:rPr>
        <w:t>REFERÊNCIAS</w:t>
      </w:r>
    </w:p>
    <w:p w:rsidR="00E71858" w:rsidRDefault="00161EC1">
      <w:pPr>
        <w:pStyle w:val="Estilopadro"/>
        <w:widowControl w:val="0"/>
        <w:spacing w:line="360" w:lineRule="auto"/>
        <w:jc w:val="both"/>
      </w:pPr>
      <w:r>
        <w:rPr>
          <w:rFonts w:ascii="Times New Roman" w:hAnsi="Times New Roman"/>
          <w:sz w:val="24"/>
          <w:szCs w:val="24"/>
        </w:rPr>
        <w:t xml:space="preserve">BITENCOURT, Cezar Roberto. Tratado de direito penal : parte geral.  17. ed. rev., ampl. e </w:t>
      </w:r>
      <w:r>
        <w:rPr>
          <w:rFonts w:ascii="Times New Roman" w:hAnsi="Times New Roman"/>
          <w:sz w:val="24"/>
          <w:szCs w:val="24"/>
        </w:rPr>
        <w:t>atual. De acordo com a Lei n. 12.550, de 2011. São Paulo. Saraiva, 2012. V. 01.</w:t>
      </w:r>
    </w:p>
    <w:p w:rsidR="00E71858" w:rsidRDefault="00161EC1">
      <w:pPr>
        <w:pStyle w:val="Estilopadro"/>
        <w:spacing w:line="360" w:lineRule="auto"/>
        <w:jc w:val="both"/>
      </w:pPr>
      <w:r>
        <w:rPr>
          <w:rFonts w:ascii="Times New Roman" w:hAnsi="Times New Roman"/>
          <w:sz w:val="24"/>
          <w:szCs w:val="24"/>
        </w:rPr>
        <w:t>CUNHA, Rogério Sanches. Direito penal- parte especial. Coleção Ciências Criminais. Editora Revista dos Tribunais, 2010. São Paulo. V.3</w:t>
      </w:r>
    </w:p>
    <w:p w:rsidR="00E71858" w:rsidRDefault="00161EC1">
      <w:pPr>
        <w:pStyle w:val="Estilopadro"/>
        <w:spacing w:line="360" w:lineRule="auto"/>
        <w:jc w:val="both"/>
      </w:pPr>
      <w:r>
        <w:rPr>
          <w:rFonts w:ascii="Times New Roman" w:hAnsi="Times New Roman"/>
          <w:sz w:val="24"/>
          <w:szCs w:val="24"/>
        </w:rPr>
        <w:t>GRECO. Rogério. Curso de direito penal- p</w:t>
      </w:r>
      <w:r>
        <w:rPr>
          <w:rFonts w:ascii="Times New Roman" w:hAnsi="Times New Roman"/>
          <w:sz w:val="24"/>
          <w:szCs w:val="24"/>
        </w:rPr>
        <w:t>arte geral. 13ª edição. Rio de Janeiro. Editora Impetus, 2011. V.1</w:t>
      </w:r>
    </w:p>
    <w:p w:rsidR="00E71858" w:rsidRDefault="00161EC1">
      <w:pPr>
        <w:pStyle w:val="Estilopadro"/>
        <w:spacing w:line="360" w:lineRule="auto"/>
        <w:jc w:val="both"/>
      </w:pPr>
      <w:r>
        <w:rPr>
          <w:rFonts w:ascii="Times New Roman" w:hAnsi="Times New Roman"/>
          <w:sz w:val="24"/>
          <w:szCs w:val="24"/>
        </w:rPr>
        <w:t>MASSON, Cléber. Direito penal esquematizado. Parte Geral, 3ª edição. São Paulo. Editora Método, 2011. V.1.</w:t>
      </w:r>
    </w:p>
    <w:p w:rsidR="00E71858" w:rsidRDefault="00161EC1">
      <w:pPr>
        <w:pStyle w:val="Estilopadro"/>
        <w:spacing w:line="360" w:lineRule="auto"/>
        <w:jc w:val="both"/>
      </w:pPr>
      <w:r>
        <w:rPr>
          <w:rFonts w:ascii="Times New Roman" w:hAnsi="Times New Roman"/>
          <w:sz w:val="24"/>
          <w:szCs w:val="24"/>
        </w:rPr>
        <w:t>NUCCI, Guilherme de Souza. Código Penal comentado. 8ª edição. São Paulo: RT, 2008</w:t>
      </w:r>
    </w:p>
    <w:p w:rsidR="00E71858" w:rsidRDefault="00161EC1">
      <w:pPr>
        <w:pStyle w:val="Estilopadro"/>
        <w:spacing w:line="360" w:lineRule="auto"/>
        <w:jc w:val="both"/>
      </w:pPr>
      <w:r>
        <w:rPr>
          <w:rFonts w:ascii="Times New Roman" w:hAnsi="Times New Roman"/>
          <w:sz w:val="24"/>
          <w:szCs w:val="24"/>
        </w:rPr>
        <w:t xml:space="preserve">TRIGUEIROS NETO, Arthur da Motta Direito penal – parte geral II.  São Paulo : Saraiva, 2012. </w:t>
      </w:r>
    </w:p>
    <w:p w:rsidR="00E71858" w:rsidRDefault="00E71858">
      <w:pPr>
        <w:pStyle w:val="Estilopadro"/>
      </w:pPr>
    </w:p>
    <w:sectPr w:rsidR="00E71858">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1" w:rsidRDefault="00161EC1">
      <w:pPr>
        <w:spacing w:after="0" w:line="240" w:lineRule="auto"/>
      </w:pPr>
      <w:r>
        <w:separator/>
      </w:r>
    </w:p>
  </w:endnote>
  <w:endnote w:type="continuationSeparator" w:id="0">
    <w:p w:rsidR="00161EC1" w:rsidRDefault="0016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58" w:rsidRDefault="00161EC1">
    <w:pPr>
      <w:pStyle w:val="Rodap"/>
      <w:jc w:val="right"/>
    </w:pPr>
    <w:r>
      <w:fldChar w:fldCharType="begin"/>
    </w:r>
    <w:r>
      <w:instrText>PAGE</w:instrText>
    </w:r>
    <w:r>
      <w:fldChar w:fldCharType="separate"/>
    </w:r>
    <w:r w:rsidR="00E31585">
      <w:rPr>
        <w:noProof/>
      </w:rPr>
      <w:t>1</w:t>
    </w:r>
    <w:r>
      <w:fldChar w:fldCharType="end"/>
    </w:r>
  </w:p>
  <w:p w:rsidR="00E71858" w:rsidRDefault="00E718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1" w:rsidRDefault="00161EC1">
      <w:r>
        <w:separator/>
      </w:r>
    </w:p>
  </w:footnote>
  <w:footnote w:type="continuationSeparator" w:id="0">
    <w:p w:rsidR="00161EC1" w:rsidRDefault="00161EC1">
      <w:r>
        <w:continuationSeparator/>
      </w:r>
    </w:p>
  </w:footnote>
  <w:footnote w:id="1">
    <w:p w:rsidR="00E71858" w:rsidRDefault="00161EC1">
      <w:pPr>
        <w:pStyle w:val="Textodenotaderodap"/>
      </w:pPr>
      <w:r>
        <w:rPr>
          <w:rStyle w:val="Refdenotaderodap"/>
          <w:rFonts w:ascii="Times New Roman" w:hAnsi="Times New Roman"/>
        </w:rPr>
        <w:footnoteRef/>
      </w:r>
      <w:r>
        <w:rPr>
          <w:rStyle w:val="Refdenotaderodap"/>
          <w:rFonts w:ascii="Times New Roman" w:hAnsi="Times New Roman"/>
        </w:rPr>
        <w:tab/>
      </w:r>
      <w:r>
        <w:rPr>
          <w:rFonts w:ascii="Times New Roman" w:hAnsi="Times New Roman"/>
        </w:rPr>
        <w:t xml:space="preserve"> Monitora Bolsista</w:t>
      </w:r>
    </w:p>
  </w:footnote>
  <w:footnote w:id="2">
    <w:p w:rsidR="00E71858" w:rsidRDefault="00161EC1">
      <w:pPr>
        <w:pStyle w:val="Textodenotaderodap"/>
      </w:pPr>
      <w:r>
        <w:rPr>
          <w:rStyle w:val="Refdenotaderodap"/>
          <w:rFonts w:ascii="Times New Roman" w:hAnsi="Times New Roman"/>
        </w:rPr>
        <w:footnoteRef/>
      </w:r>
      <w:r>
        <w:rPr>
          <w:rStyle w:val="Refdenotaderodap"/>
          <w:rFonts w:ascii="Times New Roman" w:hAnsi="Times New Roman"/>
        </w:rPr>
        <w:tab/>
      </w:r>
      <w:r>
        <w:rPr>
          <w:rFonts w:ascii="Times New Roman" w:hAnsi="Times New Roman"/>
        </w:rPr>
        <w:t xml:space="preserve"> Orientador (professor da disciplina)</w:t>
      </w:r>
    </w:p>
  </w:footnote>
  <w:footnote w:id="3">
    <w:p w:rsidR="00E71858" w:rsidRDefault="00161EC1">
      <w:pPr>
        <w:pStyle w:val="Textodenotaderodap"/>
      </w:pPr>
      <w:r>
        <w:rPr>
          <w:rStyle w:val="Refdenotaderodap"/>
          <w:rFonts w:ascii="Times New Roman" w:hAnsi="Times New Roman"/>
        </w:rPr>
        <w:footnoteRef/>
      </w:r>
      <w:r>
        <w:rPr>
          <w:rStyle w:val="Refdenotaderodap"/>
          <w:rFonts w:ascii="Times New Roman" w:hAnsi="Times New Roman"/>
        </w:rPr>
        <w:tab/>
      </w:r>
      <w:r>
        <w:rPr>
          <w:rFonts w:ascii="Times New Roman" w:hAnsi="Times New Roman"/>
        </w:rPr>
        <w:t xml:space="preserve"> Coordenadora </w:t>
      </w:r>
      <w:r>
        <w:rPr>
          <w:rFonts w:ascii="Times New Roman" w:hAnsi="Times New Roman"/>
        </w:rPr>
        <w:t>do Projeto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4"/>
    <w:multiLevelType w:val="multilevel"/>
    <w:tmpl w:val="AA10AA1C"/>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8C0CD0"/>
    <w:multiLevelType w:val="multilevel"/>
    <w:tmpl w:val="FE4E8718"/>
    <w:lvl w:ilvl="0">
      <w:start w:val="1"/>
      <w:numFmt w:val="decimal"/>
      <w:lvlText w:val="%1"/>
      <w:lvlJc w:val="left"/>
      <w:pPr>
        <w:ind w:left="1080" w:hanging="360"/>
      </w:pPr>
      <w:rPr>
        <w:rFonts w:ascii="Times New Roman" w:hAnsi="Times New Roman" w:cs="Times New Roman" w:hint="default"/>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DC61B59"/>
    <w:multiLevelType w:val="multilevel"/>
    <w:tmpl w:val="D924B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1858"/>
    <w:rsid w:val="00161EC1"/>
    <w:rsid w:val="00E31585"/>
    <w:rsid w:val="00E71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pPr>
    <w:rPr>
      <w:rFonts w:ascii="Calibri" w:eastAsia="Times New Roman" w:hAnsi="Calibri" w:cs="Times New Roman"/>
    </w:rPr>
  </w:style>
  <w:style w:type="character" w:customStyle="1" w:styleId="apple-style-span">
    <w:name w:val="apple-style-span"/>
    <w:basedOn w:val="Fontepargpadro"/>
  </w:style>
  <w:style w:type="character" w:customStyle="1" w:styleId="apple-converted-space">
    <w:name w:val="apple-converted-space"/>
    <w:basedOn w:val="Fontepargpadro"/>
  </w:style>
  <w:style w:type="character" w:customStyle="1" w:styleId="azul-bold">
    <w:name w:val="azul-bold"/>
    <w:basedOn w:val="Fontepargpadro"/>
  </w:style>
  <w:style w:type="character" w:customStyle="1" w:styleId="superscript-4">
    <w:name w:val="superscript-4"/>
    <w:basedOn w:val="Fontepargpadro"/>
  </w:style>
  <w:style w:type="character" w:customStyle="1" w:styleId="LinkdaInternet">
    <w:name w:val="Link da Internet"/>
    <w:basedOn w:val="Fontepargpadro"/>
    <w:rPr>
      <w:color w:val="0000FF"/>
      <w:u w:val="single"/>
    </w:rPr>
  </w:style>
  <w:style w:type="character" w:customStyle="1" w:styleId="texto-italico">
    <w:name w:val="texto-italico"/>
    <w:basedOn w:val="Fontepargpadro"/>
  </w:style>
  <w:style w:type="character" w:customStyle="1" w:styleId="TextodenotaderodapChar">
    <w:name w:val="Texto de nota de rodapé Char"/>
    <w:basedOn w:val="Fontepargpadro"/>
    <w:rPr>
      <w:rFonts w:ascii="Calibri" w:eastAsia="Times New Roman" w:hAnsi="Calibri" w:cs="Times New Roman"/>
      <w:sz w:val="20"/>
      <w:szCs w:val="20"/>
    </w:rPr>
  </w:style>
  <w:style w:type="character" w:styleId="Refdenotaderodap">
    <w:name w:val="footnote reference"/>
    <w:basedOn w:val="Fontepargpadro"/>
    <w:rPr>
      <w:rFonts w:cs="Times New Roman"/>
      <w:vertAlign w:val="superscript"/>
    </w:rPr>
  </w:style>
  <w:style w:type="character" w:customStyle="1" w:styleId="CabealhoChar">
    <w:name w:val="Cabeçalho Char"/>
    <w:basedOn w:val="Fontepargpadro"/>
    <w:rPr>
      <w:rFonts w:ascii="Calibri" w:eastAsia="Times New Roman" w:hAnsi="Calibri" w:cs="Times New Roman"/>
      <w:lang w:eastAsia="pt-BR"/>
    </w:rPr>
  </w:style>
  <w:style w:type="character" w:customStyle="1" w:styleId="RodapChar">
    <w:name w:val="Rodapé Char"/>
    <w:basedOn w:val="Fontepargpadro"/>
    <w:rPr>
      <w:rFonts w:ascii="Calibri" w:eastAsia="Times New Roman" w:hAnsi="Calibri" w:cs="Times New Roman"/>
      <w:lang w:eastAsia="pt-BR"/>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b/>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sz w:val="24"/>
      <w:szCs w:val="24"/>
    </w:rPr>
  </w:style>
  <w:style w:type="paragraph" w:customStyle="1" w:styleId="ndice">
    <w:name w:val="Índice"/>
    <w:basedOn w:val="Estilopadro"/>
    <w:pPr>
      <w:suppressLineNumbers/>
    </w:pPr>
    <w:rPr>
      <w:rFonts w:cs="Mangal"/>
    </w:rPr>
  </w:style>
  <w:style w:type="paragraph" w:styleId="PargrafodaLista">
    <w:name w:val="List Paragraph"/>
    <w:basedOn w:val="Estilopadro"/>
    <w:pPr>
      <w:ind w:left="720"/>
      <w:contextualSpacing/>
    </w:pPr>
    <w:rPr>
      <w:lang w:eastAsia="en-US"/>
    </w:rPr>
  </w:style>
  <w:style w:type="paragraph" w:customStyle="1" w:styleId="ficha-catalografia-autor">
    <w:name w:val="ficha-catalografia-autor"/>
    <w:basedOn w:val="Estilopadro"/>
    <w:pPr>
      <w:spacing w:before="28" w:after="28" w:line="100" w:lineRule="atLeast"/>
    </w:pPr>
    <w:rPr>
      <w:rFonts w:ascii="Times New Roman" w:hAnsi="Times New Roman"/>
      <w:sz w:val="24"/>
      <w:szCs w:val="24"/>
    </w:rPr>
  </w:style>
  <w:style w:type="paragraph" w:styleId="Textodenotaderodap">
    <w:name w:val="footnote text"/>
    <w:basedOn w:val="Estilopadro"/>
    <w:pPr>
      <w:spacing w:after="0" w:line="100" w:lineRule="atLeast"/>
    </w:pPr>
    <w:rPr>
      <w:sz w:val="20"/>
      <w:szCs w:val="20"/>
      <w:lang w:eastAsia="en-US"/>
    </w:rPr>
  </w:style>
  <w:style w:type="paragraph" w:styleId="Cabealho">
    <w:name w:val="header"/>
    <w:basedOn w:val="Estilopadro"/>
    <w:pPr>
      <w:tabs>
        <w:tab w:val="center" w:pos="4252"/>
        <w:tab w:val="right" w:pos="8504"/>
      </w:tabs>
      <w:spacing w:after="0" w:line="100" w:lineRule="atLeast"/>
    </w:pPr>
  </w:style>
  <w:style w:type="paragraph" w:styleId="Rodap">
    <w:name w:val="footer"/>
    <w:basedOn w:val="Estilopadro"/>
    <w:pPr>
      <w:tabs>
        <w:tab w:val="center" w:pos="4252"/>
        <w:tab w:val="right" w:pos="8504"/>
      </w:tabs>
      <w:spacing w:after="0" w:line="100" w:lineRule="atLeast"/>
    </w:pPr>
  </w:style>
  <w:style w:type="paragraph" w:customStyle="1" w:styleId="Notaderodap">
    <w:name w:val="Nota de rodapé"/>
    <w:basedOn w:val="Estilopadr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1611</Words>
  <Characters>8701</Characters>
  <Application>Microsoft Office Word</Application>
  <DocSecurity>0</DocSecurity>
  <Lines>72</Lines>
  <Paragraphs>20</Paragraphs>
  <ScaleCrop>false</ScaleCrop>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Costa</dc:creator>
  <cp:lastModifiedBy>Danielle Costa</cp:lastModifiedBy>
  <cp:revision>9</cp:revision>
  <cp:lastPrinted>2013-09-30T10:18:00Z</cp:lastPrinted>
  <dcterms:created xsi:type="dcterms:W3CDTF">2013-09-30T10:05:00Z</dcterms:created>
  <dcterms:modified xsi:type="dcterms:W3CDTF">2013-10-23T14:43:00Z</dcterms:modified>
</cp:coreProperties>
</file>